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C" w:rsidRPr="00CA79A5" w:rsidRDefault="00213BDC" w:rsidP="00213BDC">
      <w:pPr>
        <w:jc w:val="center"/>
        <w:rPr>
          <w:b/>
        </w:rPr>
      </w:pPr>
      <w:r w:rsidRPr="00CA79A5">
        <w:rPr>
          <w:b/>
        </w:rPr>
        <w:t>ВОПРОСЫ К ЗАЧЕТУ</w:t>
      </w:r>
    </w:p>
    <w:p w:rsidR="00213BDC" w:rsidRPr="00CA79A5" w:rsidRDefault="00213BDC" w:rsidP="00213BDC">
      <w:pPr>
        <w:jc w:val="center"/>
        <w:rPr>
          <w:b/>
        </w:rPr>
      </w:pPr>
      <w:r w:rsidRPr="00CA79A5">
        <w:rPr>
          <w:b/>
        </w:rPr>
        <w:t xml:space="preserve"> ПО </w:t>
      </w:r>
      <w:r w:rsidR="0002143C" w:rsidRPr="00CA79A5">
        <w:rPr>
          <w:b/>
        </w:rPr>
        <w:t>ДИСЦИПЛИНЕ «</w:t>
      </w:r>
      <w:r w:rsidRPr="00CA79A5">
        <w:rPr>
          <w:b/>
        </w:rPr>
        <w:t>ГРАЖДАНСК</w:t>
      </w:r>
      <w:r w:rsidR="0002143C" w:rsidRPr="00CA79A5">
        <w:rPr>
          <w:b/>
        </w:rPr>
        <w:t>ИЙ</w:t>
      </w:r>
      <w:r w:rsidRPr="00CA79A5">
        <w:rPr>
          <w:b/>
        </w:rPr>
        <w:t xml:space="preserve"> ПРОЦЕСС</w:t>
      </w:r>
      <w:r w:rsidR="0002143C" w:rsidRPr="00CA79A5">
        <w:rPr>
          <w:b/>
        </w:rPr>
        <w:t>»</w:t>
      </w:r>
      <w:r w:rsidRPr="00CA79A5">
        <w:rPr>
          <w:b/>
        </w:rPr>
        <w:t xml:space="preserve"> </w:t>
      </w:r>
    </w:p>
    <w:p w:rsidR="00213BDC" w:rsidRPr="00CA79A5" w:rsidRDefault="00213BDC" w:rsidP="00213BDC">
      <w:pPr>
        <w:tabs>
          <w:tab w:val="left" w:pos="4680"/>
        </w:tabs>
        <w:rPr>
          <w:b/>
        </w:rPr>
      </w:pPr>
      <w:bookmarkStart w:id="0" w:name="_GoBack"/>
      <w:bookmarkEnd w:id="0"/>
      <w:r w:rsidRPr="00CA79A5">
        <w:rPr>
          <w:b/>
        </w:rPr>
        <w:tab/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Понятие, предмет, метод гражданского процесса. Задачи гражданского судопроизводства.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Источники гражданского процессуального права.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Соотношение гражданского процессуального права с другими отраслями права.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Действие гражданских процессуальных норм во времени, в пространстве и по кругу лиц.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Стадии гражданско-процессуального права.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Виды гражданского судопроизводства.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система принципов гражданского процессуального права.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Конституционные принципы гражданского процессуального права.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Отраслевые принципы гражданского процессуального права.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Понятие гражданско-процессуальных правоотношений.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Условия возникновения гражданско-процессуальных отношений.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Гражданско-процессуальная право и дееспособность.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Субъекты гражданско-процессуальных правоотношений.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Роль и место суда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Компетенция суда.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Составы судов и их полномочия.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Отводы судьям.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сторон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Процессуальное соучастие.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Замена ненадлежащей стороны.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Процессуальное правопреемство.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третьих лиц.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Третьи лица, заявляющие самостоятельные требования на предмет спора.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Третьи лица, не заявляющие самостоятельные требования на предмет спора.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Процессуальное положение прокурора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Участие прокурора в суде первой инстанции.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Участие прокурора в судах, рассматривающих дела в кассационной и надзорной инстанциях, по вновь открывшимся обстоятельствам.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Прокурорский надзор в исполнительном производстве.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Основания участия в гражданском процессе государственных органов, юридических лиц и граждан от собственного имени защищающие права других лиц.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Возбуждение гражданского дела в суде в защиту прав других лиц.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Участие в гражданском процессе государственных органов для дачи заключения по делу.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представительства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Виды представительства в суде.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Полномочия представителя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Участники гражданского судопроизводства, не имеющие юридической заинтересованности.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Свидетели.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Эксперты и специалисты.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Переводчики и понятые.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Хранители арестованного имущества.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подведомственности.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Общие правила подведомственности гражданских дел.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Разграничение подведомственности дел между общими и хозяйственными судами.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Споры о подведомственности.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подсудности.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Родовая подсудность.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Территориальная подсудность.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Основания и порядок передачи дела в другой суд.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судебных расходов.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Порядок уплаты судебных расходов.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Освобождение от уплаты судебных расходов.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Распределение судебных расходов между сторонами.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lastRenderedPageBreak/>
        <w:t>Возмещение судебных расходов.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процессуального воздействия.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виды процессуальных сроков.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Порядок исчисления процессуальных сроков.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судебного доказывания и доказатель</w:t>
      </w:r>
      <w:proofErr w:type="gramStart"/>
      <w:r w:rsidRPr="00CA79A5">
        <w:t>ств в гр</w:t>
      </w:r>
      <w:proofErr w:type="gramEnd"/>
      <w:r w:rsidRPr="00CA79A5">
        <w:t>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Предмет доказывания по гражданскому делу.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Обязанность доказывания и предоставления доказательств.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Классификация доказательств.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Оценка доказательств.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Объяснения сторон и </w:t>
      </w:r>
      <w:proofErr w:type="gramStart"/>
      <w:r w:rsidRPr="00CA79A5">
        <w:t>других</w:t>
      </w:r>
      <w:proofErr w:type="gramEnd"/>
      <w:r w:rsidRPr="00CA79A5">
        <w:t xml:space="preserve"> юридически заинтересованных в исходе дела лиц.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Показания свидетелей.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Письменные доказательства.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Вещественные доказательства.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Заключение эксперта.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Другие средства доказывания в гражданском процессе.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Обеспечение доказательств.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Понятие и значение искового производства.</w:t>
      </w:r>
      <w:r w:rsidRPr="00CA79A5">
        <w:rPr>
          <w:b/>
        </w:rPr>
        <w:t xml:space="preserve"> </w:t>
      </w:r>
      <w:r w:rsidRPr="00CA79A5">
        <w:t>Понятие иска и его элементы.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Виды исков. Право на иск.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Соединение, разъединение исков. Распоряжение исковыми средствами защиты права.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Защита интересов ответчика против иска. Обеспечение иска.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Процессуальные факты.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Процессуальные и судебные документы.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Судебная корреспонденция.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Отложение разбирательства.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 xml:space="preserve">Приостановление производства по делу. 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Прекращение производства по делу.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Оставление заявления без рассмотрения.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Оставление заявления без движения.</w:t>
      </w:r>
    </w:p>
    <w:p w:rsidR="00213BDC" w:rsidRPr="00CA79A5" w:rsidRDefault="00213BDC" w:rsidP="00213BDC">
      <w:pPr>
        <w:numPr>
          <w:ilvl w:val="0"/>
          <w:numId w:val="1"/>
        </w:numPr>
        <w:jc w:val="both"/>
      </w:pPr>
      <w:r w:rsidRPr="00CA79A5">
        <w:t>Отказ в возбуждении производства по делу.</w:t>
      </w:r>
    </w:p>
    <w:p w:rsidR="00DB65F8" w:rsidRDefault="00DB65F8"/>
    <w:sectPr w:rsidR="00DB65F8" w:rsidSect="00EF3C3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62F"/>
    <w:multiLevelType w:val="hybridMultilevel"/>
    <w:tmpl w:val="814E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BDC"/>
    <w:rsid w:val="0002143C"/>
    <w:rsid w:val="00213BDC"/>
    <w:rsid w:val="00904A5C"/>
    <w:rsid w:val="00A625EC"/>
    <w:rsid w:val="00AC06B9"/>
    <w:rsid w:val="00CA79A5"/>
    <w:rsid w:val="00CC1E66"/>
    <w:rsid w:val="00D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5</cp:revision>
  <cp:lastPrinted>2019-09-04T12:21:00Z</cp:lastPrinted>
  <dcterms:created xsi:type="dcterms:W3CDTF">2017-04-13T15:55:00Z</dcterms:created>
  <dcterms:modified xsi:type="dcterms:W3CDTF">2019-09-04T12:21:00Z</dcterms:modified>
</cp:coreProperties>
</file>